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зменений</w:t>
      </w:r>
      <w:r>
        <w:rPr>
          <w:sz w:val="28"/>
          <w:szCs w:val="28"/>
          <w:highlight w:val="none"/>
        </w:rPr>
        <w:t xml:space="preserve"> и дополнени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 в государственную программу Еврейской автономной области «Профилактика правонарушений и преступлений в Е</w:t>
      </w:r>
      <w:r>
        <w:rPr>
          <w:sz w:val="28"/>
          <w:szCs w:val="28"/>
        </w:rPr>
        <w:t xml:space="preserve">врейской ав</w:t>
      </w:r>
      <w:r>
        <w:rPr>
          <w:sz w:val="28"/>
          <w:szCs w:val="28"/>
        </w:rPr>
        <w:t xml:space="preserve">тономной области» на 2023 – 2028</w:t>
      </w:r>
      <w:r>
        <w:rPr>
          <w:sz w:val="28"/>
          <w:szCs w:val="28"/>
        </w:rPr>
        <w:t xml:space="preserve"> годы, утвержденную постановлением правительства Еврейской автономной области от 16.06.2023 № 253-пп</w:t>
      </w:r>
      <w:r/>
    </w:p>
    <w:p>
      <w:pPr>
        <w:pStyle w:val="875"/>
        <w:ind w:firstLine="709"/>
        <w:jc w:val="both"/>
        <w:tabs>
          <w:tab w:val="left" w:pos="595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ind w:firstLine="709"/>
        <w:tabs>
          <w:tab w:val="left" w:pos="92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/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государственную программу Еврейской автономной области «Профилактика правонарушений и преступлений в Еврейской автономной области» н</w:t>
      </w:r>
      <w:r>
        <w:rPr>
          <w:sz w:val="28"/>
          <w:szCs w:val="28"/>
        </w:rPr>
        <w:t xml:space="preserve">а 2023 – 2028</w:t>
      </w:r>
      <w:r>
        <w:rPr>
          <w:sz w:val="28"/>
          <w:szCs w:val="28"/>
        </w:rPr>
        <w:t xml:space="preserve"> годы, утвержденную постановлением правительства Еврейской автономной области от 16.06.2023 № 253-пп</w:t>
      </w:r>
      <w:r>
        <w:rPr>
          <w:sz w:val="28"/>
          <w:szCs w:val="28"/>
        </w:rPr>
        <w:t xml:space="preserve"> «О государственной программе Еврейской автономной области «Профилактика правонарушений и преступлений в Еврейской автономной области» на 2023 – 202</w:t>
      </w:r>
      <w:r>
        <w:rPr>
          <w:sz w:val="28"/>
          <w:szCs w:val="28"/>
        </w:rPr>
        <w:t xml:space="preserve">8 годы»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/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 «Ресурсное обесп</w:t>
      </w:r>
      <w:r>
        <w:rPr>
          <w:sz w:val="28"/>
          <w:szCs w:val="28"/>
        </w:rPr>
        <w:t xml:space="preserve">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  <w:br/>
        <w:t xml:space="preserve">в том числе по годам»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 «Паспорт государственной программы Еврейской автономной области «Профилактика правонарушений и преступлений в Еврейской автономной области» на 2023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8 годы»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tbl>
      <w:tblPr>
        <w:tblW w:w="9356" w:type="dxa"/>
        <w:tblInd w:w="10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552" w:type="dxa"/>
            <w:vAlign w:val="top"/>
            <w:textDirection w:val="lrTb"/>
            <w:noWrap w:val="false"/>
          </w:tcPr>
          <w:p>
            <w:pPr>
              <w:pStyle w:val="875"/>
              <w:widowControl w:val="off"/>
            </w:pPr>
            <w:r>
              <w:t xml:space="preserve">«</w:t>
            </w:r>
            <w:r>
              <w:t xml:space="preserve">Ресурсное обе</w:t>
            </w:r>
            <w: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  <w:p>
            <w:pPr>
              <w:pStyle w:val="875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Всего по государственной программе – 84050,94 тыс. рублей, в том числе средства областного бюджета: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2023 год – 19809,0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2024 год – 1809,0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2025 год – 1809,0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2026 год – 11432,94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2027 год – 6659,0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2028 год – 42532,0 тыс. рублей, в том числе: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- </w:t>
            </w:r>
            <w:hyperlink r:id="rId12" w:tooltip="consultantplus://offline/ref=F1656ED3992BA12C5EF77E78734BB5FF5B4550AF1D2BA200B39EB21C2613DC73F414A6061741001AB82958D7F7A7D9EF60886310BB9447569A1DB63Bn5F" w:history="1">
              <w:r>
                <w:rPr>
                  <w:bCs/>
                  <w:sz w:val="24"/>
                  <w:szCs w:val="24"/>
                  <w:highlight w:val="white"/>
                </w:rPr>
                <w:t xml:space="preserve">подпрограмма</w:t>
              </w:r>
            </w:hyperlink>
            <w:r>
              <w:rPr>
                <w:bCs/>
                <w:sz w:val="24"/>
                <w:szCs w:val="24"/>
                <w:highlight w:val="white"/>
              </w:rPr>
              <w:t xml:space="preserve"> «Профилактика наркомании на территории Еврейской автономной области» на 2023 – 2028 годы.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Общий объем финансирования – 9961,0 тыс. рублей, в том числе средства областного бюджета: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2023 год – 1382,0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2024 год – 1452,0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2025 год – 1452,0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2026 год – 1830,0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2027 год – 1605,0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2028 год – 2240,0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- </w:t>
            </w:r>
            <w:hyperlink r:id="rId13" w:tooltip="consultantplus://offline/ref=F1656ED3992BA12C5EF77E78734BB5FF5B4550AF1D2BA200B39EB21C2613DC73F414A6061741001AB82A5EDBF7A7D9EF60886310BB9447569A1DB63Bn5F" w:history="1">
              <w:r>
                <w:rPr>
                  <w:bCs/>
                  <w:sz w:val="24"/>
                  <w:szCs w:val="24"/>
                  <w:highlight w:val="white"/>
                </w:rPr>
                <w:t xml:space="preserve">подпрограмма</w:t>
              </w:r>
            </w:hyperlink>
            <w:r>
              <w:rPr>
                <w:bCs/>
                <w:sz w:val="24"/>
                <w:szCs w:val="24"/>
                <w:highlight w:val="white"/>
              </w:rPr>
              <w:t xml:space="preserve"> «Профилактика терроризма и экстремизма на территории Еврейской автономной области» на 2023 </w:t>
            </w:r>
            <w:r>
              <w:rPr>
                <w:bCs/>
                <w:sz w:val="24"/>
                <w:szCs w:val="24"/>
                <w:highlight w:val="white"/>
              </w:rPr>
              <w:t xml:space="preserve">– </w:t>
            </w:r>
            <w:r>
              <w:rPr>
                <w:bCs/>
                <w:sz w:val="24"/>
                <w:szCs w:val="24"/>
                <w:highlight w:val="white"/>
              </w:rPr>
              <w:br/>
            </w:r>
            <w:r>
              <w:rPr>
                <w:bCs/>
                <w:sz w:val="24"/>
                <w:szCs w:val="24"/>
                <w:highlight w:val="white"/>
              </w:rPr>
              <w:t xml:space="preserve">2028 годы.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Общий объем финансирования – 70127,94 тыс. рублей, в том числе средства областного бюджета: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2023 год – 18008,0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2024 год – 8,0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2025 год – 8,0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2026 год – 8657,94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2027 год – 4104,0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2028 год – 39342,0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- </w:t>
            </w:r>
            <w:hyperlink r:id="rId14" w:tooltip="consultantplus://offline/ref=F1656ED3992BA12C5EF77E78734BB5FF5B4550AF1D2BA200B39EB21C2613DC73F414A6061741001AB82B5CDDF7A7D9EF60886310BB9447569A1DB63Bn5F" w:history="1">
              <w:r>
                <w:rPr>
                  <w:bCs/>
                  <w:sz w:val="24"/>
                  <w:szCs w:val="24"/>
                  <w:highlight w:val="white"/>
                </w:rPr>
                <w:t xml:space="preserve">подпрограмма</w:t>
              </w:r>
            </w:hyperlink>
            <w:r>
              <w:rPr>
                <w:bCs/>
                <w:sz w:val="24"/>
                <w:szCs w:val="24"/>
                <w:highlight w:val="white"/>
              </w:rPr>
              <w:t xml:space="preserve"> «Обеспечение общественной безопасности и предупреждение правонарушений на территории Еврейской автономной области» на 2023 – 2028 годы.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Общий объем финансирования – 3517,0 тыс. рублей, в том числе средства областного бюджета: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2023 год – 419,0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2024 год – 349,0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2025 год – 349,0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2026 год – 800,0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2027 год – 800,0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2028 год – 800,0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- </w:t>
            </w:r>
            <w:hyperlink r:id="rId15" w:tooltip="consultantplus://offline/ref=F1656ED3992BA12C5EF77E78734BB5FF5B4550AF1D2BA200B39EB21C2613DC73F414A6061741001AB82B55DDF7A7D9EF60886310BB9447569A1DB63Bn5F" w:history="1">
              <w:r>
                <w:rPr>
                  <w:bCs/>
                  <w:sz w:val="24"/>
                  <w:szCs w:val="24"/>
                  <w:highlight w:val="white"/>
                </w:rPr>
                <w:t xml:space="preserve">подпрограмма</w:t>
              </w:r>
            </w:hyperlink>
            <w:r>
              <w:rPr>
                <w:bCs/>
                <w:sz w:val="24"/>
                <w:szCs w:val="24"/>
                <w:highlight w:val="white"/>
              </w:rPr>
              <w:t xml:space="preserve"> «Противодействие коррупции» на 2023 </w:t>
            </w:r>
            <w:r>
              <w:rPr>
                <w:bCs/>
                <w:sz w:val="24"/>
                <w:szCs w:val="24"/>
                <w:highlight w:val="white"/>
              </w:rPr>
              <w:t xml:space="preserve">– </w:t>
            </w:r>
            <w:r>
              <w:rPr>
                <w:bCs/>
                <w:sz w:val="24"/>
                <w:szCs w:val="24"/>
                <w:highlight w:val="white"/>
              </w:rPr>
              <w:br/>
            </w:r>
            <w:r>
              <w:rPr>
                <w:bCs/>
                <w:sz w:val="24"/>
                <w:szCs w:val="24"/>
                <w:highlight w:val="white"/>
              </w:rPr>
              <w:t xml:space="preserve">2028 годы.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Общий о</w:t>
            </w:r>
            <w:r>
              <w:rPr>
                <w:sz w:val="24"/>
                <w:szCs w:val="24"/>
                <w:highlight w:val="white"/>
              </w:rPr>
              <w:t xml:space="preserve">бъем финансирования – 445,0 тыс. рублей, в том числе средства областного бюджета: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2023 год – 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2024 год – 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2025 год – 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2026 год – 145,0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2027 год – 150,0 тыс. рублей;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 w:val="0"/>
              <w:jc w:val="both"/>
              <w:rPr>
                <w:sz w:val="24"/>
                <w:szCs w:val="24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2028 год – 150,0 тыс. рублей.».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75"/>
        <w:ind w:firstLine="709"/>
        <w:jc w:val="both"/>
        <w:rPr>
          <w:sz w:val="28"/>
          <w:szCs w:val="28"/>
          <w:highlight w:val="none"/>
        </w:rPr>
      </w:pPr>
      <w:r/>
      <w:bookmarkStart w:id="0" w:name="P530"/>
      <w:r/>
      <w:bookmarkEnd w:id="0"/>
      <w:r>
        <w:rPr>
          <w:sz w:val="28"/>
          <w:szCs w:val="28"/>
        </w:rPr>
        <w:t xml:space="preserve">1.2. Раздел </w:t>
      </w:r>
      <w:r>
        <w:rPr>
          <w:bCs/>
          <w:color w:val="000000" w:themeColor="text1"/>
          <w:sz w:val="28"/>
          <w:szCs w:val="28"/>
          <w:highlight w:val="white"/>
        </w:rPr>
        <w:t xml:space="preserve">3 «Приоритеты государственной политики в сфере реализации</w:t>
      </w:r>
      <w: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государственной программы, цели и задачи государственной программы</w:t>
      </w:r>
      <w:r>
        <w:rPr>
          <w:sz w:val="28"/>
          <w:szCs w:val="28"/>
          <w:highlight w:val="none"/>
        </w:rPr>
        <w:t xml:space="preserve">» дополнить: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абзацем седьмым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- </w:t>
      </w:r>
      <w:hyperlink r:id="rId16" w:tooltip="consultantplus://offline/ref=1F1826308BAD84D48F213A55AE0C939CE8AB9E4306E775F8510B2FB16A0FF9548961F0D2A3F88DA6529433CE3EiCk7F" w:history="1">
        <w:r>
          <w:rPr>
            <w:color w:val="000000" w:themeColor="text1"/>
            <w:sz w:val="28"/>
            <w:szCs w:val="28"/>
            <w:highlight w:val="white"/>
          </w:rPr>
          <w:t xml:space="preserve">Указом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Президента Российской Федерации </w:t>
      </w:r>
      <w:r>
        <w:rPr>
          <w:color w:val="000000" w:themeColor="text1"/>
          <w:sz w:val="28"/>
          <w:szCs w:val="28"/>
          <w:highlight w:val="white"/>
        </w:rPr>
        <w:t xml:space="preserve">от 19.10.2022 </w:t>
      </w:r>
      <w:r>
        <w:rPr>
          <w:color w:val="000000" w:themeColor="text1"/>
          <w:sz w:val="28"/>
          <w:szCs w:val="28"/>
          <w:highlight w:val="white"/>
        </w:rPr>
        <w:t xml:space="preserve">№ </w:t>
      </w:r>
      <w:r>
        <w:rPr>
          <w:color w:val="000000" w:themeColor="text1"/>
          <w:sz w:val="28"/>
          <w:szCs w:val="28"/>
          <w:highlight w:val="white"/>
        </w:rPr>
        <w:t xml:space="preserve">757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 мерах, осуществляемых в субъектах Российской Федерации в связи с Указом Президента Российской Федерации от 19 октября 2022 г. № 756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абзацем десятым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  <w:t xml:space="preserve">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- Поручением Президента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.10.2022 </w:t>
        <w:br/>
        <w:t xml:space="preserve">№ Пр-1978 по вопросам оказания поддержки гражданам Российской Федерации, призванным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военную службу по мобилизации, и членам их сем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ей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подразделе 4.1 «</w:t>
      </w:r>
      <w:r>
        <w:rPr>
          <w:sz w:val="28"/>
          <w:szCs w:val="28"/>
        </w:rPr>
      </w:r>
      <w:r>
        <w:rPr>
          <w:bCs/>
          <w:color w:val="000000" w:themeColor="text1"/>
          <w:sz w:val="28"/>
          <w:szCs w:val="28"/>
          <w:highlight w:val="white"/>
        </w:rPr>
        <w:t xml:space="preserve">Перечень показателей (индикаторов) подпрограмм</w:t>
      </w:r>
      <w:r/>
      <w:r>
        <w:t xml:space="preserve"> </w:t>
      </w:r>
      <w:r>
        <w:rPr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white"/>
        </w:rPr>
        <w:t xml:space="preserve">государственной программы</w:t>
      </w:r>
      <w:r/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 раздела «</w:t>
      </w:r>
      <w:r>
        <w:rPr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white"/>
        </w:rPr>
        <w:t xml:space="preserve">Перечень показателей (индикаторов)</w:t>
      </w:r>
      <w:r/>
      <w:r>
        <w:t xml:space="preserve"> </w:t>
      </w:r>
      <w:r>
        <w:rPr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white"/>
        </w:rPr>
        <w:t xml:space="preserve">государственной программы</w:t>
      </w:r>
      <w:r/>
      <w:r>
        <w:rPr>
          <w:sz w:val="28"/>
          <w:szCs w:val="28"/>
          <w:highlight w:val="none"/>
        </w:rPr>
        <w:t xml:space="preserve">» пункт 2 дополнить абзацем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  <w:highlight w:val="none"/>
        </w:rPr>
        <w:t xml:space="preserve">«4</w:t>
      </w:r>
      <w:r>
        <w:rPr>
          <w:color w:val="000000" w:themeColor="text1"/>
          <w:sz w:val="28"/>
          <w:szCs w:val="28"/>
          <w:highlight w:val="white"/>
        </w:rPr>
        <w:t xml:space="preserve">) количество </w:t>
      </w:r>
      <w:r>
        <w:rPr>
          <w:rFonts w:ascii="Times New Roman" w:hAnsi="Times New Roman"/>
          <w:sz w:val="28"/>
          <w:szCs w:val="28"/>
        </w:rPr>
        <w:t xml:space="preserve">приобретенных товаров для нужд специальной военной операции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количество </w:t>
      </w:r>
      <w:r>
        <w:rPr>
          <w:rFonts w:ascii="Times New Roman" w:hAnsi="Times New Roman"/>
          <w:sz w:val="28"/>
          <w:szCs w:val="28"/>
        </w:rPr>
        <w:t xml:space="preserve">приобретенных товаров для нужд специальной военной операции</w:t>
      </w:r>
      <w:r/>
      <w:r>
        <w:rPr>
          <w:color w:val="000000" w:themeColor="text1"/>
          <w:sz w:val="28"/>
          <w:szCs w:val="28"/>
        </w:rPr>
        <w:t xml:space="preserve"> согласно ведомственным данным, представляемым департаментом региональной безопасности </w:t>
      </w:r>
      <w:r>
        <w:rPr>
          <w:color w:val="000000" w:themeColor="text1"/>
          <w:sz w:val="28"/>
          <w:szCs w:val="28"/>
        </w:rPr>
        <w:t xml:space="preserve">области.».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В таблице 2 «Мероприятия государственной программы» раздела 7 «Систем</w:t>
      </w:r>
      <w:r>
        <w:rPr>
          <w:sz w:val="28"/>
          <w:szCs w:val="28"/>
          <w:highlight w:val="none"/>
        </w:rPr>
        <w:t xml:space="preserve">а программных (подпрограммных) мероприятий»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</w:t>
      </w:r>
      <w:r>
        <w:rPr>
          <w:sz w:val="28"/>
          <w:szCs w:val="28"/>
        </w:rPr>
        <w:t xml:space="preserve">здел 2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shd w:val="clear" w:color="auto" w:fill="ffffff"/>
        </w:rPr>
        <w:t xml:space="preserve">Подпрограмма 2 </w:t>
      </w:r>
      <w:r>
        <w:rPr>
          <w:sz w:val="28"/>
          <w:szCs w:val="28"/>
          <w:shd w:val="clear" w:color="auto" w:fill="ffffff"/>
        </w:rPr>
        <w:t xml:space="preserve">«</w:t>
      </w:r>
      <w:r>
        <w:rPr>
          <w:sz w:val="28"/>
          <w:szCs w:val="28"/>
          <w:shd w:val="clear" w:color="auto" w:fill="ffffff"/>
        </w:rPr>
        <w:t xml:space="preserve">Профилактика </w:t>
      </w:r>
      <w:r>
        <w:rPr>
          <w:bCs/>
          <w:sz w:val="28"/>
          <w:szCs w:val="28"/>
          <w:highlight w:val="white"/>
        </w:rPr>
        <w:t xml:space="preserve">терроризма и экстремизма на территории Еврейской автономной области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  <w:t xml:space="preserve"> на 2023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  <w:shd w:val="clear" w:color="auto" w:fill="ffffff"/>
        </w:rPr>
        <w:t xml:space="preserve"> 2028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дополнить пунктом 2.3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/>
    </w:p>
    <w:tbl>
      <w:tblPr>
        <w:tblW w:w="9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1559"/>
        <w:gridCol w:w="1479"/>
        <w:gridCol w:w="567"/>
        <w:gridCol w:w="1558"/>
        <w:gridCol w:w="1782"/>
        <w:gridCol w:w="1762"/>
      </w:tblGrid>
      <w:tr>
        <w:trPr/>
        <w:tc>
          <w:tcPr>
            <w:tcW w:w="629" w:type="dxa"/>
            <w:vAlign w:val="top"/>
            <w:vMerge w:val="restart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«2.3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6"/>
            <w:tcW w:w="87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Основное мероприятие 3 «Оказание государственной поддержки производителям технологичных товаров и закупка товаров для нужд специальной военной операции»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.3.1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турникетов для остановки крови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79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Департамент региональной безопасности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Снижение смертности от ранений военнослужащих Еврейской автономной области, приобретение не менее 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12000 турникетов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82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У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величение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смертност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и вследствие неоказания медицинской помощи военнослужащим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62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приобретенных товаров для нужд специальной военной операции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».</w:t>
            </w:r>
            <w:r>
              <w:rPr>
                <w:sz w:val="22"/>
                <w:szCs w:val="22"/>
                <w:highlight w:val="yellow"/>
              </w:rPr>
            </w:r>
            <w:r/>
          </w:p>
        </w:tc>
      </w:tr>
    </w:tbl>
    <w:p>
      <w:pPr>
        <w:pStyle w:val="87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</w:t>
      </w:r>
      <w:r>
        <w:rPr>
          <w:sz w:val="28"/>
          <w:szCs w:val="28"/>
        </w:rPr>
        <w:t xml:space="preserve">ле</w:t>
      </w:r>
      <w:r>
        <w:rPr>
          <w:sz w:val="28"/>
          <w:szCs w:val="28"/>
        </w:rPr>
        <w:t xml:space="preserve"> 10 «Ресурсное обеспечение реализации государственной программы»: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изложить в следующей редакции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875"/>
        <w:ind w:firstLine="709"/>
        <w:jc w:val="both"/>
        <w:widowControl w:val="off"/>
      </w:pPr>
      <w:r>
        <w:rPr>
          <w:sz w:val="28"/>
        </w:rPr>
        <w:t xml:space="preserve">«</w:t>
      </w:r>
      <w:r>
        <w:rPr>
          <w:sz w:val="28"/>
          <w:szCs w:val="28"/>
          <w:lang w:eastAsia="en-US"/>
        </w:rPr>
        <w:t xml:space="preserve">Общий объем финансирования мероприятий государственной </w:t>
      </w: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р</w:t>
      </w:r>
      <w:r>
        <w:rPr>
          <w:sz w:val="28"/>
          <w:szCs w:val="28"/>
          <w:lang w:eastAsia="en-US"/>
        </w:rPr>
        <w:t xml:space="preserve">ограммы</w:t>
      </w:r>
      <w:r>
        <w:rPr>
          <w:sz w:val="28"/>
          <w:szCs w:val="28"/>
          <w:lang w:eastAsia="en-US"/>
        </w:rPr>
        <w:t xml:space="preserve"> за счет средств областного бюджета составляет – </w:t>
        <w:br/>
      </w:r>
      <w:r>
        <w:rPr>
          <w:bCs/>
          <w:sz w:val="28"/>
          <w:szCs w:val="28"/>
          <w:highlight w:val="white"/>
        </w:rPr>
        <w:t xml:space="preserve">84050,94</w:t>
      </w:r>
      <w:r>
        <w:rPr>
          <w:sz w:val="28"/>
          <w:szCs w:val="28"/>
        </w:rPr>
        <w:t xml:space="preserve"> тыс. рублей, в том числе средства областного бюджета: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75"/>
        <w:ind w:firstLine="709"/>
        <w:jc w:val="both"/>
        <w:widowControl w:val="off"/>
      </w:pPr>
      <w:r>
        <w:rPr>
          <w:sz w:val="28"/>
          <w:szCs w:val="28"/>
        </w:rPr>
        <w:t xml:space="preserve">- а</w:t>
      </w:r>
      <w:r>
        <w:rPr>
          <w:sz w:val="28"/>
          <w:szCs w:val="28"/>
        </w:rPr>
        <w:t xml:space="preserve">бзац</w:t>
      </w:r>
      <w:r>
        <w:rPr>
          <w:sz w:val="28"/>
          <w:szCs w:val="28"/>
        </w:rPr>
        <w:t xml:space="preserve"> втор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/>
    </w:p>
    <w:p>
      <w:pPr>
        <w:pStyle w:val="875"/>
        <w:ind w:firstLine="709"/>
        <w:jc w:val="both"/>
        <w:widowControl w:val="off"/>
      </w:pPr>
      <w:r>
        <w:rPr>
          <w:sz w:val="28"/>
          <w:szCs w:val="28"/>
        </w:rPr>
        <w:t xml:space="preserve">«- 202</w:t>
      </w:r>
      <w:r>
        <w:rPr>
          <w:sz w:val="28"/>
          <w:szCs w:val="28"/>
        </w:rPr>
        <w:t xml:space="preserve">3 год – </w:t>
      </w:r>
      <w:r>
        <w:rPr>
          <w:bCs/>
          <w:sz w:val="28"/>
          <w:szCs w:val="28"/>
          <w:highlight w:val="white"/>
        </w:rPr>
        <w:t xml:space="preserve">19809,0</w:t>
      </w:r>
      <w:r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таблице 3</w:t>
      </w:r>
      <w:r>
        <w:rPr>
          <w:sz w:val="28"/>
          <w:szCs w:val="28"/>
        </w:rPr>
        <w:t xml:space="preserve"> «Ре</w:t>
      </w:r>
      <w:r>
        <w:rPr>
          <w:sz w:val="28"/>
          <w:szCs w:val="28"/>
        </w:rPr>
        <w:t xml:space="preserve">сурсное обеспечение реализации государственной программ</w:t>
      </w:r>
      <w:r>
        <w:rPr>
          <w:sz w:val="28"/>
          <w:szCs w:val="28"/>
        </w:rPr>
        <w:t xml:space="preserve">ы за счет средств областного бюджета»</w:t>
      </w:r>
      <w:r>
        <w:t xml:space="preserve">:</w:t>
      </w:r>
      <w:r>
        <w:rPr>
          <w:sz w:val="28"/>
          <w:szCs w:val="28"/>
        </w:rPr>
      </w:r>
      <w:r/>
    </w:p>
    <w:p>
      <w:pPr>
        <w:pStyle w:val="875"/>
        <w:ind w:firstLine="708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/>
    </w:p>
    <w:p>
      <w:pPr>
        <w:pStyle w:val="875"/>
        <w:ind w:firstLine="708"/>
        <w:jc w:val="both"/>
        <w:tabs>
          <w:tab w:val="left" w:pos="851" w:leader="none"/>
          <w:tab w:val="left" w:pos="993" w:leader="none"/>
        </w:tabs>
        <w:outlineLvl w:val="0"/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троку:</w:t>
      </w:r>
      <w:r>
        <w:rPr>
          <w:sz w:val="28"/>
          <w:szCs w:val="28"/>
        </w:rPr>
      </w:r>
      <w:r/>
    </w:p>
    <w:tbl>
      <w:tblPr>
        <w:tblW w:w="14437" w:type="dxa"/>
        <w:jc w:val="center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79"/>
        <w:gridCol w:w="878"/>
        <w:gridCol w:w="831"/>
        <w:gridCol w:w="805"/>
        <w:gridCol w:w="1514"/>
        <w:gridCol w:w="980"/>
        <w:gridCol w:w="946"/>
        <w:gridCol w:w="760"/>
        <w:gridCol w:w="909"/>
        <w:gridCol w:w="1060"/>
        <w:gridCol w:w="908"/>
        <w:gridCol w:w="1065"/>
      </w:tblGrid>
      <w:tr>
        <w:trPr/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3536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Государственная программа «Профилактика правонарушений и преступлений в Еврейской автономной области» на 2023 – 202</w:t>
            </w:r>
            <w:r>
              <w:rPr>
                <w:sz w:val="22"/>
                <w:szCs w:val="22"/>
              </w:rPr>
              <w:t xml:space="preserve">8 годы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78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7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53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1700000000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917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66050,94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85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11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11432,94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6659,0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65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42532,0»;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75"/>
        <w:ind w:left="0" w:right="0" w:firstLine="0"/>
        <w:jc w:val="both"/>
        <w:tabs>
          <w:tab w:val="left" w:pos="851" w:leader="none"/>
          <w:tab w:val="left" w:pos="993" w:leader="none"/>
        </w:tabs>
        <w:outlineLvl w:val="0"/>
      </w:pP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трокой:</w:t>
      </w:r>
      <w:r>
        <w:rPr>
          <w:sz w:val="28"/>
          <w:szCs w:val="28"/>
        </w:rPr>
      </w:r>
      <w:r/>
    </w:p>
    <w:tbl>
      <w:tblPr>
        <w:tblW w:w="14437" w:type="dxa"/>
        <w:jc w:val="center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79"/>
        <w:gridCol w:w="878"/>
        <w:gridCol w:w="831"/>
        <w:gridCol w:w="805"/>
        <w:gridCol w:w="1514"/>
        <w:gridCol w:w="980"/>
        <w:gridCol w:w="946"/>
        <w:gridCol w:w="760"/>
        <w:gridCol w:w="909"/>
        <w:gridCol w:w="1060"/>
        <w:gridCol w:w="908"/>
        <w:gridCol w:w="1065"/>
      </w:tblGrid>
      <w:tr>
        <w:trPr/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3536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«Государственная программа «Профилактика правонарушений и преступлений в Еврейской автономной области» на 2023 – 2028 годы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78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7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53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1700000000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917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  <w:t xml:space="preserve">84050,94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85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  <w:t xml:space="preserve">19809,0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11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1809,0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11432,94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6659,0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65" w:type="dxa"/>
            <w:vAlign w:val="top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42532,0»;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75"/>
        <w:ind w:firstLine="708"/>
        <w:jc w:val="both"/>
        <w:tabs>
          <w:tab w:val="left" w:pos="851" w:leader="none"/>
          <w:tab w:val="left" w:pos="993" w:leader="none"/>
        </w:tabs>
        <w:outlineLvl w:val="0"/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троку:</w:t>
      </w:r>
      <w:r>
        <w:rPr>
          <w:sz w:val="28"/>
          <w:szCs w:val="28"/>
        </w:rPr>
      </w:r>
      <w:r/>
    </w:p>
    <w:tbl>
      <w:tblPr>
        <w:tblW w:w="1441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46"/>
        <w:gridCol w:w="2835"/>
        <w:gridCol w:w="850"/>
        <w:gridCol w:w="604"/>
        <w:gridCol w:w="1338"/>
        <w:gridCol w:w="1058"/>
        <w:gridCol w:w="906"/>
        <w:gridCol w:w="907"/>
        <w:gridCol w:w="906"/>
        <w:gridCol w:w="1057"/>
        <w:gridCol w:w="907"/>
        <w:gridCol w:w="906"/>
      </w:tblGrid>
      <w:tr>
        <w:trPr>
          <w:cantSplit/>
          <w:trHeight w:val="419"/>
        </w:trPr>
        <w:tc>
          <w:tcPr>
            <w:tcW w:w="2146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Ответственный исполнитель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Департамент региональной безопасности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0113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17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00000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5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3257,0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349,0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349,0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349,0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5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810,0»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75"/>
        <w:ind w:left="0" w:right="0" w:firstLine="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трокой:</w:t>
      </w:r>
      <w:r>
        <w:rPr>
          <w:sz w:val="28"/>
          <w:szCs w:val="28"/>
        </w:rPr>
      </w:r>
      <w:r/>
    </w:p>
    <w:tbl>
      <w:tblPr>
        <w:tblW w:w="1441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46"/>
        <w:gridCol w:w="2835"/>
        <w:gridCol w:w="850"/>
        <w:gridCol w:w="604"/>
        <w:gridCol w:w="1338"/>
        <w:gridCol w:w="1058"/>
        <w:gridCol w:w="906"/>
        <w:gridCol w:w="907"/>
        <w:gridCol w:w="906"/>
        <w:gridCol w:w="1057"/>
        <w:gridCol w:w="907"/>
        <w:gridCol w:w="906"/>
      </w:tblGrid>
      <w:tr>
        <w:trPr>
          <w:cantSplit/>
          <w:trHeight w:val="419"/>
        </w:trPr>
        <w:tc>
          <w:tcPr>
            <w:tcW w:w="2146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040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0113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17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00000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05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21257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,0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18349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,0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349,0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349,0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0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700,0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700,0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810,0»;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</w:tbl>
    <w:p>
      <w:pPr>
        <w:pStyle w:val="875"/>
        <w:ind w:firstLine="708"/>
        <w:jc w:val="both"/>
        <w:widowControl w:val="off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75"/>
        <w:ind w:firstLine="708"/>
        <w:jc w:val="both"/>
        <w:widowControl w:val="off"/>
      </w:pP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tbl>
      <w:tblPr>
        <w:tblW w:w="14414" w:type="dxa"/>
        <w:jc w:val="center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6"/>
        <w:gridCol w:w="3392"/>
        <w:gridCol w:w="1020"/>
        <w:gridCol w:w="789"/>
        <w:gridCol w:w="764"/>
        <w:gridCol w:w="1437"/>
        <w:gridCol w:w="929"/>
        <w:gridCol w:w="878"/>
        <w:gridCol w:w="897"/>
        <w:gridCol w:w="898"/>
        <w:gridCol w:w="898"/>
        <w:gridCol w:w="897"/>
        <w:gridCol w:w="1020"/>
      </w:tblGrid>
      <w:tr>
        <w:trPr/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56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3216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«Профилактика терроризма и экстремизма на территории Еврейской автономной области» на 2023 – 202</w:t>
            </w:r>
            <w:r>
              <w:rPr>
                <w:sz w:val="22"/>
                <w:szCs w:val="22"/>
              </w:rPr>
              <w:t xml:space="preserve">8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020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4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24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362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8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52127,94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8657,94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4104,0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39342,0</w:t>
            </w:r>
            <w:r>
              <w:rPr>
                <w:sz w:val="22"/>
                <w:szCs w:val="22"/>
              </w:rPr>
              <w:t xml:space="preserve">»;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5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заменить строкой: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tbl>
      <w:tblPr>
        <w:tblW w:w="14414" w:type="dxa"/>
        <w:jc w:val="center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6"/>
        <w:gridCol w:w="3392"/>
        <w:gridCol w:w="1020"/>
        <w:gridCol w:w="789"/>
        <w:gridCol w:w="764"/>
        <w:gridCol w:w="1437"/>
        <w:gridCol w:w="929"/>
        <w:gridCol w:w="878"/>
        <w:gridCol w:w="897"/>
        <w:gridCol w:w="898"/>
        <w:gridCol w:w="898"/>
        <w:gridCol w:w="897"/>
        <w:gridCol w:w="1020"/>
      </w:tblGrid>
      <w:tr>
        <w:trPr/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56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3216" w:type="dxa"/>
            <w:vAlign w:val="top"/>
            <w:textDirection w:val="lrTb"/>
            <w:noWrap w:val="false"/>
          </w:tcPr>
          <w:p>
            <w:pPr>
              <w:pStyle w:val="875"/>
            </w:pPr>
            <w:r>
              <w:rPr>
                <w:sz w:val="22"/>
                <w:szCs w:val="22"/>
              </w:rPr>
              <w:t xml:space="preserve">Подпрограмма 2 «Профилактика терроризма и экстремизма на территории Еврейской автономной области» на 2023 – 202</w:t>
            </w:r>
            <w:r>
              <w:rPr>
                <w:sz w:val="22"/>
                <w:szCs w:val="22"/>
              </w:rPr>
              <w:t xml:space="preserve">8 годы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020" w:type="dxa"/>
            <w:vAlign w:val="top"/>
            <w:textDirection w:val="lrTb"/>
            <w:noWrap w:val="false"/>
          </w:tcPr>
          <w:p>
            <w:pPr>
              <w:pStyle w:val="875"/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4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724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1362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8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70127,94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1800</w:t>
            </w: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8657,94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28" w:type="dxa"/>
              <w:right w:w="57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4104,0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39342,0</w:t>
            </w:r>
            <w:r>
              <w:rPr>
                <w:sz w:val="22"/>
                <w:szCs w:val="22"/>
              </w:rPr>
              <w:t xml:space="preserve">»;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дополнить подпунктом 2.3 следующего содержания:</w:t>
      </w:r>
      <w:r>
        <w:rPr>
          <w:sz w:val="28"/>
          <w:szCs w:val="28"/>
        </w:rPr>
      </w:r>
      <w:r/>
    </w:p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2953"/>
        <w:gridCol w:w="2575"/>
        <w:gridCol w:w="709"/>
        <w:gridCol w:w="567"/>
        <w:gridCol w:w="850"/>
        <w:gridCol w:w="993"/>
        <w:gridCol w:w="850"/>
        <w:gridCol w:w="851"/>
        <w:gridCol w:w="850"/>
        <w:gridCol w:w="992"/>
        <w:gridCol w:w="851"/>
        <w:gridCol w:w="850"/>
      </w:tblGrid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  <w:outlineLvl w:val="4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2.3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53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Оказание государственной поддержки производителям технологичных товаров и закупка товаров для нужд специальной военной операции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2575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4"/>
              <w:ind w:firstLine="0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55050</w:t>
            </w:r>
            <w:r>
              <w:rPr>
                <w:sz w:val="22"/>
                <w:szCs w:val="22"/>
                <w:highlight w:val="white"/>
              </w:rPr>
              <w:t xml:space="preserve">00000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18000,0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1800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widowControl/>
              <w:rPr>
                <w:rFonts w:ascii="Times New Roman" w:hAnsi="Times New Roman"/>
                <w:sz w:val="22"/>
                <w:szCs w:val="22"/>
                <w:highlight w:val="white"/>
              </w:rPr>
              <w:outlineLvl w:val="4"/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2.3.1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53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турникетов для остановки крови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57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Департамент региональной безопасности области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040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0113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5505000000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18000,0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1800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0,0».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pgNumType w:start="5"/>
          <w:cols w:num="1" w:sep="0" w:space="708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75"/>
        <w:ind w:firstLine="708"/>
        <w:jc w:val="both"/>
      </w:pPr>
      <w:r>
        <w:rPr>
          <w:sz w:val="28"/>
          <w:szCs w:val="28"/>
        </w:rPr>
        <w:t xml:space="preserve">- т</w:t>
      </w:r>
      <w:r>
        <w:rPr>
          <w:sz w:val="28"/>
          <w:szCs w:val="28"/>
        </w:rPr>
        <w:t xml:space="preserve">аблицу 4 «Структура финансирования государственной программы «Профилактика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 и преступлений в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 2023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8 годы по направлениям расходов» изложить </w:t>
        <w:br/>
        <w:t xml:space="preserve">в следующей редакции: </w:t>
      </w:r>
      <w:r>
        <w:rPr>
          <w:sz w:val="28"/>
          <w:szCs w:val="28"/>
        </w:rPr>
      </w:r>
      <w:r/>
    </w:p>
    <w:p>
      <w:pPr>
        <w:pStyle w:val="875"/>
        <w:jc w:val="right"/>
        <w:widowControl w:val="off"/>
        <w:outlineLvl w:val="2"/>
      </w:pPr>
      <w:r/>
      <w:r/>
    </w:p>
    <w:p>
      <w:pPr>
        <w:pStyle w:val="875"/>
        <w:jc w:val="right"/>
        <w:widowControl w:val="off"/>
        <w:outlineLvl w:val="2"/>
      </w:pPr>
      <w:r>
        <w:rPr>
          <w:sz w:val="28"/>
        </w:rPr>
        <w:t xml:space="preserve">«Таблица 4</w:t>
      </w:r>
      <w:r>
        <w:rPr>
          <w:sz w:val="28"/>
        </w:rPr>
      </w:r>
      <w:r/>
    </w:p>
    <w:p>
      <w:pPr>
        <w:pStyle w:val="875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Cs/>
          <w:color w:val="000000" w:themeColor="text1"/>
          <w:sz w:val="28"/>
          <w:szCs w:val="28"/>
          <w:highlight w:val="white"/>
        </w:rPr>
        <w:t xml:space="preserve">Структура</w:t>
      </w:r>
      <w:r>
        <w:rPr>
          <w:bCs/>
          <w:color w:val="000000" w:themeColor="text1"/>
          <w:sz w:val="28"/>
          <w:szCs w:val="28"/>
          <w:highlight w:val="white"/>
        </w:rPr>
      </w:r>
      <w:r/>
    </w:p>
    <w:p>
      <w:pPr>
        <w:jc w:val="center"/>
      </w:pPr>
      <w:r>
        <w:rPr>
          <w:bCs/>
          <w:color w:val="000000" w:themeColor="text1"/>
          <w:sz w:val="28"/>
          <w:szCs w:val="28"/>
          <w:highlight w:val="white"/>
        </w:rPr>
        <w:t xml:space="preserve">финансирования государственной программы «Профилактика</w:t>
      </w:r>
      <w:r>
        <w:rPr>
          <w:bCs/>
          <w:color w:val="000000" w:themeColor="text1"/>
          <w:sz w:val="28"/>
          <w:szCs w:val="28"/>
          <w:highlight w:val="white"/>
        </w:rPr>
      </w:r>
      <w:r/>
    </w:p>
    <w:p>
      <w:pPr>
        <w:jc w:val="center"/>
      </w:pPr>
      <w:r>
        <w:rPr>
          <w:bCs/>
          <w:color w:val="000000" w:themeColor="text1"/>
          <w:sz w:val="28"/>
          <w:szCs w:val="28"/>
          <w:highlight w:val="white"/>
        </w:rPr>
        <w:t xml:space="preserve">правонарушений и преступлений в </w:t>
      </w:r>
      <w:r>
        <w:rPr>
          <w:bCs/>
          <w:color w:val="000000" w:themeColor="text1"/>
          <w:sz w:val="28"/>
          <w:szCs w:val="28"/>
          <w:highlight w:val="white"/>
        </w:rPr>
        <w:t xml:space="preserve">Еврейской</w:t>
      </w:r>
      <w:r>
        <w:rPr>
          <w:bCs/>
          <w:color w:val="000000" w:themeColor="text1"/>
          <w:sz w:val="28"/>
          <w:szCs w:val="28"/>
          <w:highlight w:val="white"/>
        </w:rPr>
        <w:t xml:space="preserve"> автономной</w:t>
      </w:r>
      <w:r>
        <w:rPr>
          <w:bCs/>
          <w:color w:val="000000" w:themeColor="text1"/>
          <w:sz w:val="28"/>
          <w:szCs w:val="28"/>
          <w:highlight w:val="white"/>
        </w:rPr>
      </w:r>
      <w:r/>
    </w:p>
    <w:p>
      <w:pPr>
        <w:jc w:val="center"/>
      </w:pPr>
      <w:r>
        <w:rPr>
          <w:bCs/>
          <w:color w:val="000000" w:themeColor="text1"/>
          <w:sz w:val="28"/>
          <w:szCs w:val="28"/>
          <w:highlight w:val="white"/>
        </w:rPr>
        <w:t xml:space="preserve">области» на 2023 – 2028 годы по направлениям расходов</w:t>
      </w:r>
      <w:r>
        <w:rPr>
          <w:bCs/>
          <w:color w:val="000000" w:themeColor="text1"/>
          <w:sz w:val="28"/>
          <w:szCs w:val="28"/>
          <w:highlight w:val="white"/>
        </w:rPr>
      </w:r>
      <w:r/>
    </w:p>
    <w:p>
      <w:pPr>
        <w:jc w:val="center"/>
      </w:pP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84050,94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11432,94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6659,0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42532,0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НИОКР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84050,94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11432,94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6659,0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42532,0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-».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75"/>
        <w:ind w:firstLine="708"/>
        <w:jc w:val="both"/>
        <w:widowControl w:val="off"/>
        <w:rPr>
          <w:sz w:val="28"/>
          <w:szCs w:val="28"/>
          <w:highlight w:val="none"/>
          <w:lang w:eastAsia="en-US"/>
        </w:rPr>
        <w:outlineLvl w:val="2"/>
      </w:pPr>
      <w:r>
        <w:rPr>
          <w:sz w:val="28"/>
          <w:szCs w:val="28"/>
          <w:lang w:eastAsia="en-US"/>
        </w:rPr>
        <w:t xml:space="preserve">1.5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разделе 13 «</w:t>
      </w:r>
      <w:r>
        <w:rPr>
          <w:sz w:val="28"/>
          <w:szCs w:val="28"/>
          <w:lang w:eastAsia="en-US"/>
        </w:rPr>
        <w:t xml:space="preserve">Подпрограмма 2 «Профилактика терроризма </w:t>
        <w:br/>
        <w:t xml:space="preserve">и экстремизма на территории Еврейской автономной области» </w:t>
        <w:br/>
        <w:t xml:space="preserve">на 2023 – 202</w:t>
      </w:r>
      <w:r>
        <w:rPr>
          <w:sz w:val="28"/>
          <w:szCs w:val="28"/>
          <w:lang w:eastAsia="en-US"/>
        </w:rPr>
        <w:t xml:space="preserve">8 годы»:</w:t>
      </w:r>
      <w:r>
        <w:rPr>
          <w:sz w:val="28"/>
          <w:szCs w:val="28"/>
          <w:lang w:eastAsia="en-US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  <w:lang w:eastAsia="en-US"/>
        </w:rPr>
        <w:t xml:space="preserve">- столбец второй ст</w:t>
      </w:r>
      <w:r>
        <w:rPr>
          <w:sz w:val="28"/>
          <w:szCs w:val="28"/>
          <w:highlight w:val="none"/>
          <w:lang w:eastAsia="en-US"/>
        </w:rPr>
        <w:t xml:space="preserve">роки «</w:t>
      </w:r>
      <w:r>
        <w:rPr>
          <w:color w:val="000000" w:themeColor="text1"/>
          <w:sz w:val="28"/>
          <w:szCs w:val="28"/>
          <w:highlight w:val="white"/>
        </w:rPr>
        <w:t xml:space="preserve">Целевые индикаторы и показатели подпрограммы</w:t>
      </w:r>
      <w:r>
        <w:rPr>
          <w:sz w:val="28"/>
          <w:szCs w:val="28"/>
        </w:rPr>
        <w:t xml:space="preserve">» дополнить абзацем следующего содержания: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Количество приобретенных товаров для нужд специальной военной операции</w:t>
      </w:r>
      <w:r>
        <w:rPr>
          <w:sz w:val="28"/>
          <w:szCs w:val="28"/>
          <w:highlight w:val="none"/>
          <w:lang w:eastAsia="en-US"/>
        </w:rPr>
        <w:t xml:space="preserve">»;</w:t>
      </w:r>
      <w:r>
        <w:rPr>
          <w:sz w:val="28"/>
          <w:szCs w:val="28"/>
          <w:highlight w:val="none"/>
          <w:lang w:eastAsia="en-US"/>
        </w:rPr>
      </w:r>
    </w:p>
    <w:p>
      <w:pPr>
        <w:pStyle w:val="875"/>
        <w:ind w:firstLine="708"/>
        <w:jc w:val="both"/>
        <w:widowControl w:val="off"/>
        <w:outlineLvl w:val="2"/>
      </w:pPr>
      <w:r>
        <w:rPr>
          <w:sz w:val="28"/>
          <w:szCs w:val="28"/>
        </w:rPr>
        <w:t xml:space="preserve">- строку «Объемы</w:t>
      </w:r>
      <w:r>
        <w:rPr>
          <w:sz w:val="28"/>
          <w:szCs w:val="28"/>
        </w:rPr>
        <w:t xml:space="preserve"> бюджетных ассигнований подпрограммы» </w:t>
      </w:r>
      <w:r>
        <w:rPr>
          <w:sz w:val="28"/>
          <w:szCs w:val="28"/>
          <w:lang w:eastAsia="en-US"/>
        </w:rPr>
        <w:t xml:space="preserve">подраздел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1 «Паспорт подпрограммы 2 «Профилактика терроризма и экстремизма на территории Еврейской автономной области» на 2023 –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202</w:t>
      </w:r>
      <w:r>
        <w:rPr>
          <w:sz w:val="28"/>
          <w:szCs w:val="28"/>
          <w:lang w:eastAsia="en-US"/>
        </w:rPr>
        <w:t xml:space="preserve">8</w:t>
      </w:r>
      <w:r>
        <w:rPr>
          <w:sz w:val="28"/>
          <w:szCs w:val="28"/>
          <w:lang w:eastAsia="en-US"/>
        </w:rPr>
        <w:t xml:space="preserve"> годы»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0"/>
        <w:gridCol w:w="6946"/>
      </w:tblGrid>
      <w:tr>
        <w:trPr>
          <w:trHeight w:val="289"/>
        </w:trPr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75"/>
              <w:ind w:right="-62"/>
              <w:widowControl w:val="off"/>
            </w:pPr>
            <w:r>
              <w:t xml:space="preserve">«Объемы бюджетных ассигнований подпрограммы</w:t>
            </w:r>
            <w:r/>
          </w:p>
        </w:tc>
        <w:tc>
          <w:tcPr>
            <w:tcW w:w="6946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rPr>
                <w:highlight w:val="none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Общий объем финансирования – 70127,94 тыс. рублей, в том числ</w:t>
            </w:r>
            <w:r>
              <w:rPr>
                <w:bCs/>
                <w:sz w:val="24"/>
                <w:szCs w:val="24"/>
                <w:highlight w:val="none"/>
              </w:rPr>
              <w:t xml:space="preserve">е</w:t>
            </w:r>
            <w:r>
              <w:rPr>
                <w:bCs/>
                <w:sz w:val="24"/>
                <w:szCs w:val="24"/>
                <w:highlight w:val="none"/>
              </w:rPr>
              <w:t xml:space="preserve"> средства областного бюджета</w:t>
            </w:r>
            <w:r>
              <w:rPr>
                <w:bCs/>
                <w:sz w:val="24"/>
                <w:szCs w:val="24"/>
                <w:highlight w:val="none"/>
              </w:rPr>
              <w:t xml:space="preserve">: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 w:val="0"/>
              <w:jc w:val="both"/>
              <w:rPr>
                <w:highlight w:val="none"/>
              </w:rPr>
              <w:suppressLineNumbers w:val="0"/>
            </w:pPr>
            <w:r>
              <w:rPr>
                <w:bCs/>
                <w:sz w:val="24"/>
                <w:szCs w:val="24"/>
                <w:highlight w:val="none"/>
              </w:rPr>
              <w:t xml:space="preserve">2023 год –</w:t>
            </w:r>
            <w:r>
              <w:rPr>
                <w:bCs/>
                <w:sz w:val="24"/>
                <w:szCs w:val="24"/>
                <w:highlight w:val="none"/>
              </w:rPr>
              <w:t xml:space="preserve"> 18008,0 т</w:t>
            </w:r>
            <w:r>
              <w:rPr>
                <w:bCs/>
                <w:sz w:val="24"/>
                <w:szCs w:val="24"/>
                <w:highlight w:val="none"/>
              </w:rPr>
              <w:t xml:space="preserve">ыс. рублей;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 w:val="0"/>
              <w:jc w:val="both"/>
              <w:rPr>
                <w:highlight w:val="none"/>
              </w:rPr>
              <w:suppressLineNumbers w:val="0"/>
            </w:pPr>
            <w:r>
              <w:rPr>
                <w:bCs/>
                <w:sz w:val="24"/>
                <w:szCs w:val="24"/>
                <w:highlight w:val="none"/>
              </w:rPr>
              <w:t xml:space="preserve">2024 год – 8,0 тыс. рублей;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 w:val="0"/>
              <w:jc w:val="both"/>
              <w:suppressLineNumbers w:val="0"/>
            </w:pPr>
            <w:r>
              <w:rPr>
                <w:bCs/>
                <w:sz w:val="24"/>
                <w:szCs w:val="24"/>
                <w:highlight w:val="none"/>
              </w:rPr>
              <w:t xml:space="preserve">2025 год – 8,0 тыс. </w:t>
            </w:r>
            <w:r>
              <w:rPr>
                <w:bCs/>
                <w:sz w:val="24"/>
                <w:szCs w:val="24"/>
                <w:highlight w:val="white"/>
              </w:rPr>
              <w:t xml:space="preserve">рублей;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contextualSpacing w:val="0"/>
              <w:jc w:val="both"/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2026 год – 8657,94 тыс. рублей;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contextualSpacing w:val="0"/>
              <w:jc w:val="both"/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2027 год – 4104,0 тыс. рублей;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pStyle w:val="875"/>
              <w:jc w:val="both"/>
              <w:widowControl w:val="off"/>
            </w:pPr>
            <w:r>
              <w:rPr>
                <w:bCs/>
                <w:sz w:val="24"/>
                <w:szCs w:val="24"/>
                <w:highlight w:val="white"/>
              </w:rPr>
              <w:t xml:space="preserve">2028 год – 39342,0 тыс. рублей</w:t>
            </w:r>
            <w:r>
              <w:t xml:space="preserve">»</w:t>
            </w:r>
            <w:r>
              <w:t xml:space="preserve">;</w:t>
            </w:r>
            <w:r>
              <w:rPr>
                <w:szCs w:val="20"/>
              </w:rPr>
            </w:r>
            <w:r/>
          </w:p>
        </w:tc>
      </w:tr>
    </w:tbl>
    <w:p>
      <w:pPr>
        <w:pStyle w:val="875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  <w:lang w:eastAsia="en-US"/>
        </w:rPr>
        <w:t xml:space="preserve">столбец второй ст</w:t>
      </w:r>
      <w:r>
        <w:rPr>
          <w:sz w:val="28"/>
          <w:szCs w:val="28"/>
          <w:highlight w:val="none"/>
          <w:lang w:eastAsia="en-US"/>
        </w:rPr>
        <w:t xml:space="preserve">р</w:t>
      </w:r>
      <w:r>
        <w:rPr>
          <w:sz w:val="28"/>
          <w:szCs w:val="28"/>
          <w:highlight w:val="none"/>
          <w:lang w:eastAsia="en-US"/>
        </w:rPr>
        <w:t xml:space="preserve">оки </w:t>
      </w:r>
      <w:r>
        <w:rPr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Ожидаемые результаты реализации подп</w:t>
      </w:r>
      <w:r>
        <w:rPr>
          <w:color w:val="000000" w:themeColor="text1"/>
          <w:sz w:val="28"/>
          <w:szCs w:val="28"/>
          <w:highlight w:val="none"/>
        </w:rPr>
        <w:t xml:space="preserve">рограммы</w:t>
      </w:r>
      <w:r>
        <w:rPr>
          <w:sz w:val="28"/>
          <w:szCs w:val="28"/>
          <w:highlight w:val="none"/>
        </w:rPr>
        <w:t xml:space="preserve">» дополнить абзацем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Приобретение 100 процентов необходимых товаров для нужд специальной военной операции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 подраздел 10 «Ресурсное обеспечение ре</w:t>
      </w:r>
      <w:r>
        <w:rPr>
          <w:sz w:val="28"/>
          <w:szCs w:val="28"/>
          <w:highlight w:val="none"/>
        </w:rPr>
        <w:t xml:space="preserve">ализации подпрограммы»</w:t>
      </w:r>
      <w:r>
        <w:rPr>
          <w:sz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pStyle w:val="875"/>
        <w:ind w:firstLine="708"/>
        <w:jc w:val="both"/>
      </w:pPr>
      <w:r/>
      <w:r/>
    </w:p>
    <w:p>
      <w:pPr>
        <w:pStyle w:val="875"/>
        <w:jc w:val="center"/>
      </w:pPr>
      <w:r>
        <w:rPr>
          <w:sz w:val="28"/>
          <w:szCs w:val="28"/>
        </w:rPr>
        <w:t xml:space="preserve">«10. Ресурсное обеспечение реализации подпрограммы</w:t>
      </w:r>
      <w:r>
        <w:rPr>
          <w:sz w:val="28"/>
          <w:szCs w:val="28"/>
        </w:rPr>
      </w:r>
      <w:r/>
    </w:p>
    <w:p>
      <w:pPr>
        <w:pStyle w:val="875"/>
        <w:ind w:firstLine="708"/>
        <w:jc w:val="both"/>
        <w:widowControl w:val="off"/>
        <w:outlineLvl w:val="2"/>
      </w:pPr>
      <w:r/>
      <w:r/>
    </w:p>
    <w:p>
      <w:pPr>
        <w:pStyle w:val="875"/>
        <w:ind w:firstLine="708"/>
        <w:jc w:val="both"/>
        <w:widowControl w:val="off"/>
        <w:rPr>
          <w:highlight w:val="none"/>
        </w:rPr>
        <w:outlineLvl w:val="2"/>
      </w:pPr>
      <w:r>
        <w:rPr>
          <w:sz w:val="28"/>
          <w:szCs w:val="28"/>
          <w:highlight w:val="none"/>
        </w:rPr>
        <w:t xml:space="preserve">Общий объем финансирования подпрограммы составляет </w:t>
      </w:r>
      <w:r>
        <w:rPr>
          <w:sz w:val="28"/>
          <w:szCs w:val="28"/>
          <w:highlight w:val="none"/>
        </w:rPr>
        <w:t xml:space="preserve">70127,94</w:t>
      </w:r>
      <w:r>
        <w:rPr>
          <w:sz w:val="28"/>
          <w:szCs w:val="28"/>
          <w:highlight w:val="none"/>
        </w:rPr>
        <w:t xml:space="preserve"> тыс. рублей, в том числе средства областного бюджета – 70127,94</w:t>
      </w:r>
      <w:r>
        <w:rPr>
          <w:sz w:val="28"/>
          <w:szCs w:val="28"/>
          <w:highlight w:val="none"/>
        </w:rPr>
        <w:t xml:space="preserve"> тыс. рублей.</w:t>
      </w:r>
      <w:r>
        <w:rPr>
          <w:highlight w:val="none"/>
        </w:rPr>
      </w:r>
      <w:r>
        <w:rPr>
          <w:highlight w:val="none"/>
        </w:rPr>
      </w:r>
    </w:p>
    <w:p>
      <w:pPr>
        <w:pStyle w:val="875"/>
        <w:ind w:firstLine="708"/>
        <w:jc w:val="both"/>
        <w:widowControl w:val="off"/>
        <w:rPr>
          <w:highlight w:val="none"/>
        </w:rPr>
        <w:outlineLvl w:val="2"/>
      </w:pPr>
      <w:r>
        <w:rPr>
          <w:sz w:val="28"/>
          <w:szCs w:val="28"/>
          <w:highlight w:val="none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таблице 3 государственной программы.</w:t>
      </w:r>
      <w:r>
        <w:rPr>
          <w:highlight w:val="none"/>
        </w:rPr>
      </w:r>
      <w:r>
        <w:rPr>
          <w:highlight w:val="none"/>
        </w:rPr>
      </w:r>
    </w:p>
    <w:p>
      <w:pPr>
        <w:pStyle w:val="875"/>
        <w:jc w:val="right"/>
        <w:outlineLvl w:val="0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/>
    </w:p>
    <w:p>
      <w:pPr>
        <w:pStyle w:val="875"/>
        <w:jc w:val="both"/>
      </w:pPr>
      <w:r/>
      <w:r/>
    </w:p>
    <w:p>
      <w:pPr>
        <w:pStyle w:val="875"/>
        <w:jc w:val="center"/>
      </w:pPr>
      <w:r>
        <w:rPr>
          <w:sz w:val="28"/>
          <w:szCs w:val="28"/>
        </w:rPr>
        <w:t xml:space="preserve">Структура</w:t>
      </w:r>
      <w:r>
        <w:rPr>
          <w:sz w:val="28"/>
          <w:szCs w:val="28"/>
        </w:rPr>
      </w:r>
      <w:r/>
    </w:p>
    <w:p>
      <w:pPr>
        <w:pStyle w:val="875"/>
        <w:jc w:val="center"/>
      </w:pPr>
      <w:r>
        <w:rPr>
          <w:sz w:val="28"/>
          <w:szCs w:val="28"/>
        </w:rPr>
        <w:t xml:space="preserve">финансирования подпрограммы по направлениям расходов</w:t>
      </w:r>
      <w:r>
        <w:rPr>
          <w:sz w:val="28"/>
          <w:szCs w:val="28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70127,94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8657,94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4104,0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39342,0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НИОКР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Прочие расходы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127,94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8,0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8657,94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4104,0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39342,0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</w:tr>
    </w:tbl>
    <w:p>
      <w:pPr>
        <w:pStyle w:val="875"/>
        <w:ind w:firstLine="708"/>
        <w:jc w:val="both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  <w:r>
        <w:rPr>
          <w:sz w:val="28"/>
          <w:szCs w:val="28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9" w:footer="709" w:gutter="0"/>
      <w:pgNumType w:start="4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lang w:val="ru-RU"/>
      </w:rPr>
    </w:pPr>
    <w:r>
      <w:rPr>
        <w:lang w:val="ru-RU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pStyle w:val="875"/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5"/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5"/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75"/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75"/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5"/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5"/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5"/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5"/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5"/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75"/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75"/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5"/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5"/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5"/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875"/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063" w:hanging="180"/>
      </w:pPr>
      <w:rPr>
        <w:rFonts w:cs="Times New Roman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75"/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pStyle w:val="875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5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pStyle w:val="875"/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68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0" w:hanging="180"/>
        <w:tabs>
          <w:tab w:val="num" w:pos="6820" w:leader="none"/>
        </w:tabs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4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83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877">
    <w:name w:val="Заголовок 2"/>
    <w:basedOn w:val="875"/>
    <w:next w:val="877"/>
    <w:link w:val="884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878">
    <w:name w:val="Заголовок 3"/>
    <w:basedOn w:val="875"/>
    <w:next w:val="875"/>
    <w:link w:val="885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879">
    <w:name w:val="Заголовок 5"/>
    <w:basedOn w:val="875"/>
    <w:next w:val="875"/>
    <w:link w:val="886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character" w:styleId="880">
    <w:name w:val="Основной шрифт абзаца"/>
    <w:next w:val="880"/>
    <w:link w:val="875"/>
    <w:uiPriority w:val="1"/>
    <w:semiHidden/>
  </w:style>
  <w:style w:type="table" w:styleId="881">
    <w:name w:val="Обычная таблица"/>
    <w:next w:val="881"/>
    <w:link w:val="875"/>
    <w:uiPriority w:val="99"/>
    <w:semiHidden/>
    <w:unhideWhenUsed/>
    <w:tblPr/>
  </w:style>
  <w:style w:type="numbering" w:styleId="882">
    <w:name w:val="Нет списка"/>
    <w:next w:val="882"/>
    <w:link w:val="875"/>
    <w:uiPriority w:val="99"/>
    <w:semiHidden/>
    <w:unhideWhenUsed/>
  </w:style>
  <w:style w:type="character" w:styleId="883">
    <w:name w:val="Заголовок 1 Знак"/>
    <w:next w:val="883"/>
    <w:link w:val="876"/>
    <w:uiPriority w:val="9"/>
    <w:rPr>
      <w:rFonts w:ascii="Cambria" w:hAnsi="Cambria" w:cs="Times New Roman"/>
      <w:b/>
      <w:sz w:val="32"/>
    </w:rPr>
  </w:style>
  <w:style w:type="character" w:styleId="884">
    <w:name w:val="Заголовок 2 Знак"/>
    <w:next w:val="884"/>
    <w:link w:val="877"/>
    <w:uiPriority w:val="9"/>
    <w:rPr>
      <w:b/>
      <w:bCs/>
      <w:sz w:val="36"/>
      <w:szCs w:val="36"/>
    </w:rPr>
  </w:style>
  <w:style w:type="character" w:styleId="885">
    <w:name w:val="Заголовок 3 Знак"/>
    <w:next w:val="885"/>
    <w:link w:val="878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886">
    <w:name w:val="Заголовок 5 Знак"/>
    <w:next w:val="886"/>
    <w:link w:val="879"/>
    <w:uiPriority w:val="99"/>
    <w:rPr>
      <w:rFonts w:cs="Times New Roman"/>
      <w:b/>
      <w:i/>
      <w:sz w:val="26"/>
    </w:rPr>
  </w:style>
  <w:style w:type="paragraph" w:styleId="887">
    <w:name w:val="Основной текст"/>
    <w:basedOn w:val="875"/>
    <w:next w:val="887"/>
    <w:link w:val="888"/>
    <w:uiPriority w:val="99"/>
    <w:pPr>
      <w:jc w:val="both"/>
    </w:pPr>
    <w:rPr>
      <w:sz w:val="28"/>
      <w:szCs w:val="20"/>
    </w:rPr>
  </w:style>
  <w:style w:type="character" w:styleId="888">
    <w:name w:val="Основной текст Знак"/>
    <w:next w:val="888"/>
    <w:link w:val="887"/>
    <w:uiPriority w:val="99"/>
    <w:rPr>
      <w:rFonts w:cs="Times New Roman"/>
      <w:sz w:val="28"/>
      <w:lang w:val="ru-RU" w:eastAsia="ru-RU"/>
    </w:rPr>
  </w:style>
  <w:style w:type="paragraph" w:styleId="889">
    <w:name w:val="Обычный (веб)"/>
    <w:basedOn w:val="875"/>
    <w:next w:val="889"/>
    <w:link w:val="875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table" w:styleId="890">
    <w:name w:val="Сетка таблицы"/>
    <w:basedOn w:val="881"/>
    <w:next w:val="890"/>
    <w:link w:val="875"/>
    <w:uiPriority w:val="39"/>
    <w:tblPr/>
  </w:style>
  <w:style w:type="paragraph" w:styleId="891">
    <w:name w:val="Верхний колонтитул"/>
    <w:basedOn w:val="875"/>
    <w:next w:val="891"/>
    <w:link w:val="892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892">
    <w:name w:val="Верхний колонтитул Знак"/>
    <w:next w:val="892"/>
    <w:link w:val="891"/>
    <w:uiPriority w:val="99"/>
    <w:rPr>
      <w:rFonts w:cs="Times New Roman"/>
      <w:sz w:val="24"/>
    </w:rPr>
  </w:style>
  <w:style w:type="character" w:styleId="893">
    <w:name w:val="Номер страницы"/>
    <w:next w:val="893"/>
    <w:link w:val="875"/>
    <w:uiPriority w:val="99"/>
    <w:rPr>
      <w:rFonts w:cs="Times New Roman"/>
    </w:rPr>
  </w:style>
  <w:style w:type="paragraph" w:styleId="894">
    <w:name w:val="Текст выноски"/>
    <w:basedOn w:val="875"/>
    <w:next w:val="894"/>
    <w:link w:val="895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895">
    <w:name w:val="Текст выноски Знак"/>
    <w:next w:val="895"/>
    <w:link w:val="894"/>
    <w:uiPriority w:val="99"/>
    <w:semiHidden/>
    <w:rPr>
      <w:rFonts w:ascii="Tahoma" w:hAnsi="Tahoma" w:cs="Times New Roman"/>
      <w:sz w:val="16"/>
    </w:rPr>
  </w:style>
  <w:style w:type="paragraph" w:styleId="896">
    <w:name w:val="Основной текст с отступом"/>
    <w:basedOn w:val="875"/>
    <w:next w:val="896"/>
    <w:link w:val="897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897">
    <w:name w:val="Основной текст с отступом Знак"/>
    <w:next w:val="897"/>
    <w:link w:val="896"/>
    <w:uiPriority w:val="99"/>
    <w:rPr>
      <w:rFonts w:cs="Times New Roman"/>
      <w:sz w:val="28"/>
    </w:rPr>
  </w:style>
  <w:style w:type="paragraph" w:styleId="898">
    <w:name w:val="Нижний колонтитул"/>
    <w:basedOn w:val="875"/>
    <w:next w:val="898"/>
    <w:link w:val="899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rFonts w:cs="Times New Roman"/>
      <w:sz w:val="28"/>
    </w:rPr>
  </w:style>
  <w:style w:type="paragraph" w:styleId="900">
    <w:name w:val="Знак2 Знак Знак Знак"/>
    <w:basedOn w:val="875"/>
    <w:next w:val="900"/>
    <w:link w:val="875"/>
    <w:pPr>
      <w:ind w:left="26"/>
      <w:spacing w:after="160" w:line="240" w:lineRule="exact"/>
    </w:pPr>
    <w:rPr>
      <w:lang w:val="en-US" w:eastAsia="en-US"/>
    </w:rPr>
  </w:style>
  <w:style w:type="paragraph" w:styleId="901">
    <w:name w:val="Знак Знак Знак Знак"/>
    <w:basedOn w:val="875"/>
    <w:next w:val="901"/>
    <w:link w:val="875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02">
    <w:name w:val="ConsPlusTitle"/>
    <w:next w:val="902"/>
    <w:link w:val="87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3">
    <w:name w:val="ConsPlusNonformat"/>
    <w:next w:val="903"/>
    <w:link w:val="87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4">
    <w:name w:val="ConsPlusNormal"/>
    <w:next w:val="904"/>
    <w:link w:val="905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905">
    <w:name w:val="ConsPlusNormal Знак"/>
    <w:next w:val="905"/>
    <w:link w:val="904"/>
    <w:rPr>
      <w:rFonts w:ascii="Arial" w:hAnsi="Arial"/>
      <w:lang w:val="ru-RU" w:eastAsia="ru-RU" w:bidi="ar-SA"/>
    </w:rPr>
  </w:style>
  <w:style w:type="paragraph" w:styleId="906">
    <w:name w:val="Заголовок оглавления"/>
    <w:basedOn w:val="876"/>
    <w:next w:val="875"/>
    <w:link w:val="875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en-US"/>
    </w:rPr>
  </w:style>
  <w:style w:type="paragraph" w:styleId="907">
    <w:name w:val="Оглавление 3"/>
    <w:basedOn w:val="875"/>
    <w:next w:val="875"/>
    <w:link w:val="875"/>
    <w:uiPriority w:val="99"/>
    <w:pPr>
      <w:ind w:left="560"/>
    </w:pPr>
    <w:rPr>
      <w:sz w:val="28"/>
      <w:szCs w:val="28"/>
    </w:rPr>
  </w:style>
  <w:style w:type="character" w:styleId="908">
    <w:name w:val="Гиперссылка"/>
    <w:next w:val="908"/>
    <w:link w:val="875"/>
    <w:uiPriority w:val="99"/>
    <w:rPr>
      <w:rFonts w:cs="Times New Roman"/>
      <w:color w:val="0000ff"/>
      <w:u w:val="single"/>
    </w:rPr>
  </w:style>
  <w:style w:type="paragraph" w:styleId="909">
    <w:name w:val="ConsPlusCell"/>
    <w:next w:val="909"/>
    <w:link w:val="875"/>
    <w:pPr>
      <w:widowControl w:val="off"/>
    </w:pPr>
    <w:rPr>
      <w:rFonts w:eastAsia="Batang"/>
      <w:sz w:val="24"/>
      <w:szCs w:val="24"/>
      <w:lang w:val="ru-RU" w:eastAsia="ja-JP" w:bidi="ar-SA"/>
    </w:rPr>
  </w:style>
  <w:style w:type="paragraph" w:styleId="910">
    <w:name w:val="Основной текст 2"/>
    <w:basedOn w:val="875"/>
    <w:next w:val="910"/>
    <w:link w:val="911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11">
    <w:name w:val="Основной текст 2 Знак"/>
    <w:next w:val="911"/>
    <w:link w:val="910"/>
    <w:uiPriority w:val="99"/>
    <w:rPr>
      <w:rFonts w:cs="Times New Roman"/>
      <w:sz w:val="24"/>
    </w:rPr>
  </w:style>
  <w:style w:type="paragraph" w:styleId="912">
    <w:name w:val="Знак Знак Знак1 Знак Знак Знак Знак"/>
    <w:basedOn w:val="875"/>
    <w:next w:val="912"/>
    <w:link w:val="875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13">
    <w:name w:val="Знак"/>
    <w:basedOn w:val="875"/>
    <w:next w:val="913"/>
    <w:link w:val="875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14">
    <w:name w:val="Гипертекстовая ссылка"/>
    <w:next w:val="914"/>
    <w:link w:val="875"/>
    <w:uiPriority w:val="99"/>
    <w:rPr>
      <w:color w:val="008000"/>
    </w:rPr>
  </w:style>
  <w:style w:type="paragraph" w:styleId="915">
    <w:name w:val="Основной текст с отступом 21"/>
    <w:basedOn w:val="875"/>
    <w:next w:val="915"/>
    <w:link w:val="875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16">
    <w:name w:val="Основной текст с отступом 2"/>
    <w:basedOn w:val="875"/>
    <w:next w:val="916"/>
    <w:link w:val="917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17">
    <w:name w:val="Основной текст с отступом 2 Знак"/>
    <w:next w:val="917"/>
    <w:link w:val="916"/>
    <w:uiPriority w:val="99"/>
    <w:rPr>
      <w:rFonts w:cs="Times New Roman"/>
    </w:rPr>
  </w:style>
  <w:style w:type="paragraph" w:styleId="918">
    <w:name w:val="Нормальный (таблица)"/>
    <w:basedOn w:val="875"/>
    <w:next w:val="875"/>
    <w:link w:val="875"/>
    <w:uiPriority w:val="99"/>
    <w:pPr>
      <w:jc w:val="both"/>
      <w:widowControl w:val="off"/>
    </w:pPr>
    <w:rPr>
      <w:rFonts w:ascii="Arial" w:hAnsi="Arial" w:cs="Arial"/>
    </w:rPr>
  </w:style>
  <w:style w:type="character" w:styleId="919">
    <w:name w:val="Основной текст + 11 pt"/>
    <w:next w:val="919"/>
    <w:link w:val="875"/>
    <w:uiPriority w:val="99"/>
    <w:rPr>
      <w:rFonts w:ascii="Times New Roman" w:hAnsi="Times New Roman"/>
      <w:sz w:val="22"/>
      <w:u w:val="none"/>
    </w:rPr>
  </w:style>
  <w:style w:type="character" w:styleId="920">
    <w:name w:val="Основной текст + 9,5 pt"/>
    <w:next w:val="920"/>
    <w:link w:val="875"/>
    <w:uiPriority w:val="99"/>
    <w:rPr>
      <w:rFonts w:ascii="Times New Roman" w:hAnsi="Times New Roman"/>
      <w:sz w:val="19"/>
      <w:u w:val="none"/>
    </w:rPr>
  </w:style>
  <w:style w:type="character" w:styleId="921">
    <w:name w:val="Основной текст + 9 pt,Полужирный1"/>
    <w:next w:val="921"/>
    <w:link w:val="875"/>
    <w:uiPriority w:val="99"/>
    <w:rPr>
      <w:rFonts w:ascii="Times New Roman" w:hAnsi="Times New Roman"/>
      <w:b/>
      <w:sz w:val="18"/>
      <w:u w:val="none"/>
    </w:rPr>
  </w:style>
  <w:style w:type="paragraph" w:styleId="922">
    <w:name w:val="Содержимое таблицы"/>
    <w:basedOn w:val="875"/>
    <w:next w:val="922"/>
    <w:link w:val="875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23">
    <w:name w:val="Текст"/>
    <w:basedOn w:val="875"/>
    <w:next w:val="923"/>
    <w:link w:val="924"/>
    <w:uiPriority w:val="99"/>
    <w:rPr>
      <w:rFonts w:ascii="Courier New" w:hAnsi="Courier New"/>
      <w:sz w:val="20"/>
      <w:szCs w:val="20"/>
      <w:lang w:val="en-US" w:eastAsia="en-US"/>
    </w:rPr>
  </w:style>
  <w:style w:type="character" w:styleId="924">
    <w:name w:val="Текст Знак"/>
    <w:next w:val="924"/>
    <w:link w:val="923"/>
    <w:uiPriority w:val="99"/>
    <w:rPr>
      <w:rFonts w:ascii="Courier New" w:hAnsi="Courier New" w:cs="Times New Roman"/>
    </w:rPr>
  </w:style>
  <w:style w:type="character" w:styleId="925">
    <w:name w:val="WW-Absatz-Standardschriftart"/>
    <w:next w:val="925"/>
    <w:link w:val="875"/>
    <w:uiPriority w:val="99"/>
  </w:style>
  <w:style w:type="paragraph" w:styleId="926">
    <w:name w:val="Без интервала"/>
    <w:next w:val="926"/>
    <w:link w:val="875"/>
    <w:uiPriority w:val="99"/>
    <w:qFormat/>
    <w:rPr>
      <w:sz w:val="28"/>
      <w:szCs w:val="28"/>
      <w:lang w:val="ru-RU" w:eastAsia="ru-RU" w:bidi="ar-SA"/>
    </w:rPr>
  </w:style>
  <w:style w:type="paragraph" w:styleId="927">
    <w:name w:val="Заголовок таблицы"/>
    <w:basedOn w:val="922"/>
    <w:next w:val="927"/>
    <w:link w:val="875"/>
    <w:uiPriority w:val="99"/>
    <w:pPr>
      <w:jc w:val="center"/>
    </w:pPr>
    <w:rPr>
      <w:b/>
      <w:bCs/>
    </w:rPr>
  </w:style>
  <w:style w:type="character" w:styleId="928">
    <w:name w:val="Знак Знак10"/>
    <w:next w:val="928"/>
    <w:link w:val="875"/>
    <w:uiPriority w:val="99"/>
    <w:rPr>
      <w:rFonts w:ascii="Cambria" w:hAnsi="Cambria"/>
      <w:b/>
      <w:sz w:val="32"/>
      <w:lang w:val="ru-RU" w:eastAsia="ru-RU"/>
    </w:rPr>
  </w:style>
  <w:style w:type="character" w:styleId="929">
    <w:name w:val="Знак Знак7"/>
    <w:next w:val="929"/>
    <w:link w:val="875"/>
    <w:uiPriority w:val="99"/>
    <w:rPr>
      <w:sz w:val="28"/>
      <w:lang w:val="ru-RU" w:eastAsia="ru-RU"/>
    </w:rPr>
  </w:style>
  <w:style w:type="character" w:styleId="930">
    <w:name w:val="Знак Знак6"/>
    <w:next w:val="930"/>
    <w:link w:val="875"/>
    <w:uiPriority w:val="99"/>
    <w:rPr>
      <w:sz w:val="28"/>
      <w:lang w:val="ru-RU" w:eastAsia="ru-RU"/>
    </w:rPr>
  </w:style>
  <w:style w:type="character" w:styleId="931">
    <w:name w:val="Знак Знак4"/>
    <w:next w:val="931"/>
    <w:link w:val="875"/>
    <w:uiPriority w:val="99"/>
    <w:rPr>
      <w:sz w:val="28"/>
      <w:lang w:val="ru-RU" w:eastAsia="ru-RU"/>
    </w:rPr>
  </w:style>
  <w:style w:type="character" w:styleId="932">
    <w:name w:val="apple-converted-space"/>
    <w:next w:val="932"/>
    <w:link w:val="875"/>
  </w:style>
  <w:style w:type="paragraph" w:styleId="933">
    <w:name w:val="Знак Знак Знак Знак Знак Знак Знак Знак Знак Знак Знак"/>
    <w:basedOn w:val="875"/>
    <w:next w:val="933"/>
    <w:link w:val="8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34">
    <w:name w:val="ConsPlusDocList"/>
    <w:next w:val="934"/>
    <w:link w:val="87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5">
    <w:name w:val="ConsPlusTitlePage"/>
    <w:next w:val="935"/>
    <w:link w:val="875"/>
    <w:pPr>
      <w:widowControl w:val="off"/>
    </w:pPr>
    <w:rPr>
      <w:rFonts w:ascii="Tahoma" w:hAnsi="Tahoma" w:cs="Tahoma"/>
      <w:lang w:val="ru-RU" w:eastAsia="ru-RU" w:bidi="ar-SA"/>
    </w:rPr>
  </w:style>
  <w:style w:type="paragraph" w:styleId="936">
    <w:name w:val="ConsPlusJurTerm"/>
    <w:next w:val="936"/>
    <w:link w:val="875"/>
    <w:pPr>
      <w:widowControl w:val="off"/>
    </w:pPr>
    <w:rPr>
      <w:rFonts w:ascii="Tahoma" w:hAnsi="Tahoma" w:cs="Tahoma"/>
      <w:lang w:val="ru-RU" w:eastAsia="ru-RU" w:bidi="ar-SA"/>
    </w:rPr>
  </w:style>
  <w:style w:type="paragraph" w:styleId="937">
    <w:name w:val="formattext"/>
    <w:basedOn w:val="875"/>
    <w:next w:val="937"/>
    <w:link w:val="875"/>
    <w:pPr>
      <w:spacing w:before="100" w:beforeAutospacing="1" w:after="100" w:afterAutospacing="1"/>
    </w:pPr>
  </w:style>
  <w:style w:type="character" w:styleId="938">
    <w:name w:val="Просмотренная гиперссылка"/>
    <w:next w:val="938"/>
    <w:link w:val="875"/>
    <w:uiPriority w:val="99"/>
    <w:unhideWhenUsed/>
    <w:rPr>
      <w:rFonts w:cs="Times New Roman"/>
      <w:color w:val="954f72"/>
      <w:u w:val="single"/>
    </w:rPr>
  </w:style>
  <w:style w:type="table" w:styleId="939">
    <w:name w:val="Сетка таблицы1"/>
    <w:basedOn w:val="881"/>
    <w:next w:val="890"/>
    <w:link w:val="875"/>
    <w:uiPriority w:val="39"/>
    <w:rPr>
      <w:rFonts w:ascii="Calibri" w:hAnsi="Calibri" w:cs="Calibri"/>
    </w:rPr>
    <w:tblPr/>
  </w:style>
  <w:style w:type="table" w:styleId="940">
    <w:name w:val="Сетка таблицы2"/>
    <w:basedOn w:val="881"/>
    <w:next w:val="890"/>
    <w:link w:val="875"/>
    <w:uiPriority w:val="39"/>
    <w:rPr>
      <w:rFonts w:ascii="Calibri" w:hAnsi="Calibri" w:cs="Calibri"/>
    </w:rPr>
    <w:tblPr/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consultantplus://offline/ref=F1656ED3992BA12C5EF77E78734BB5FF5B4550AF1D2BA200B39EB21C2613DC73F414A6061741001AB82958D7F7A7D9EF60886310BB9447569A1DB63Bn5F" TargetMode="External"/><Relationship Id="rId13" Type="http://schemas.openxmlformats.org/officeDocument/2006/relationships/hyperlink" Target="consultantplus://offline/ref=F1656ED3992BA12C5EF77E78734BB5FF5B4550AF1D2BA200B39EB21C2613DC73F414A6061741001AB82A5EDBF7A7D9EF60886310BB9447569A1DB63Bn5F" TargetMode="External"/><Relationship Id="rId14" Type="http://schemas.openxmlformats.org/officeDocument/2006/relationships/hyperlink" Target="consultantplus://offline/ref=F1656ED3992BA12C5EF77E78734BB5FF5B4550AF1D2BA200B39EB21C2613DC73F414A6061741001AB82B5CDDF7A7D9EF60886310BB9447569A1DB63Bn5F" TargetMode="External"/><Relationship Id="rId15" Type="http://schemas.openxmlformats.org/officeDocument/2006/relationships/hyperlink" Target="consultantplus://offline/ref=F1656ED3992BA12C5EF77E78734BB5FF5B4550AF1D2BA200B39EB21C2613DC73F414A6061741001AB82B55DDF7A7D9EF60886310BB9447569A1DB63Bn5F" TargetMode="External"/><Relationship Id="rId16" Type="http://schemas.openxmlformats.org/officeDocument/2006/relationships/hyperlink" Target="consultantplus://offline/ref=1F1826308BAD84D48F213A55AE0C939CE8AB9E4306E775F8510B2FB16A0FF9548961F0D2A3F88DA6529433CE3EiCk7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23</cp:revision>
  <dcterms:created xsi:type="dcterms:W3CDTF">2022-06-08T08:01:00Z</dcterms:created>
  <dcterms:modified xsi:type="dcterms:W3CDTF">2023-09-06T02:41:24Z</dcterms:modified>
  <cp:version>983040</cp:version>
</cp:coreProperties>
</file>